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МАСТЕР СТУДИЈЕ 2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Обавезни предмети (30 ЕСПБ)</w:t>
        <w:tab/>
        <w:tab/>
        <w:tab/>
        <w:tab/>
        <w:tab/>
        <w:t xml:space="preserve">Сем</w:t>
        <w:tab/>
        <w:t xml:space="preserve">П+В</w:t>
        <w:tab/>
        <w:t xml:space="preserve">ЕСБП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СИР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ab/>
        <w:tab/>
        <w:tab/>
        <w:t xml:space="preserve"> 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  </w:t>
        <w:tab/>
        <w:t xml:space="preserve">-</w:t>
        <w:tab/>
        <w:t xml:space="preserve">15</w:t>
        <w:tab/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Завршни рад</w:t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</w:t>
        <w:tab/>
        <w:t xml:space="preserve">-</w:t>
        <w:tab/>
        <w:t xml:space="preserve">10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Стручна пракса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(6)</w:t>
        <w:tab/>
        <w:t xml:space="preserve">5</w:t>
      </w:r>
    </w:p>
    <w:p w:rsidR="00000000" w:rsidDel="00000000" w:rsidP="00000000" w:rsidRDefault="00000000" w:rsidRPr="00000000" w14:paraId="00000007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Педагошка пракса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(4)</w:t>
        <w:tab/>
        <w:t xml:space="preserve">2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9">
      <w:pPr>
        <w:ind w:firstLine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Изборна позиција 1 (30 ЕСПБ)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5-10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Антика и кинематографија 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(Г. Маричић, Г. Видовић, М. Вујовић)</w:t>
      </w:r>
    </w:p>
    <w:p w:rsidR="00000000" w:rsidDel="00000000" w:rsidP="00000000" w:rsidRDefault="00000000" w:rsidRPr="00000000" w14:paraId="0000000C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Антика и хришћанство 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(В. Недељковић, Н. Ристовић, П. Јевремовић)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Антички корени модерног речника 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(Д. Димитријевић, В. Јелић)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Мит и митографија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(Г. Видовић, А. Петковић)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Историја науке 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1+3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(И. Акад, С. Бабић, С. Перовић)</w:t>
      </w:r>
    </w:p>
    <w:p w:rsidR="00000000" w:rsidDel="00000000" w:rsidP="00000000" w:rsidRDefault="00000000" w:rsidRPr="00000000" w14:paraId="00000014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Историја писма и књиге 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(Д. Џелебџић, Д. Лаловић, И. Толић)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Култура античке Грчке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 xml:space="preserve">1</w:t>
        <w:tab/>
        <w:t xml:space="preserve">2+2</w:t>
        <w:tab/>
        <w:t xml:space="preserve">5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ab/>
        <w:t xml:space="preserve">(В. Јелић, А. Петковић, М. Обрадовић)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Култура античког Рима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1</w:t>
        <w:tab/>
        <w:t xml:space="preserve">2+2</w:t>
        <w:tab/>
        <w:t xml:space="preserve">5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(С. Ферјанчић, Г. Маричић, Н. Ристовић)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ab/>
        <w:t xml:space="preserve">Религије у антици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(А. Лома, И. Толић, С. Шћепановић)</w:t>
      </w:r>
    </w:p>
    <w:p w:rsidR="00000000" w:rsidDel="00000000" w:rsidP="00000000" w:rsidRDefault="00000000" w:rsidRPr="00000000" w14:paraId="0000001C">
      <w:pPr>
        <w:ind w:firstLine="72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Реторика и култура јавног дискурса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</w:t>
        <w:tab/>
        <w:t xml:space="preserve">2+2</w:t>
        <w:tab/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72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(В. Јелић, Д. Поповић, Д. Димитријевић)</w:t>
      </w:r>
    </w:p>
    <w:p w:rsidR="00000000" w:rsidDel="00000000" w:rsidP="00000000" w:rsidRDefault="00000000" w:rsidRPr="00000000" w14:paraId="0000001E">
      <w:pPr>
        <w:ind w:firstLine="72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