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jc w:val="center"/>
        <w:rPr>
          <w:rFonts w:ascii="Times New Roman" w:hAnsi="Times New Roman" w:eastAsia="Times New Roman" w:cs="Times New Roman"/>
          <w:b/>
          <w:b/>
          <w:i/>
          <w:i/>
          <w:position w:val="0"/>
          <w:sz w:val="22"/>
          <w:vertAlign w:val="baseline"/>
        </w:rPr>
      </w:pPr>
      <w:r>
        <w:rPr>
          <w:rFonts w:eastAsia="Times New Roman" w:cs="Times New Roman" w:ascii="Times New Roman" w:hAnsi="Times New Roman"/>
          <w:b/>
          <w:position w:val="0"/>
          <w:sz w:val="22"/>
          <w:vertAlign w:val="baseline"/>
        </w:rPr>
        <w:t>Табела 5.2.</w:t>
      </w:r>
      <w:r>
        <w:rPr>
          <w:rFonts w:eastAsia="Times New Roman" w:cs="Times New Roman" w:ascii="Times New Roman" w:hAnsi="Times New Roman"/>
          <w:position w:val="0"/>
          <w:sz w:val="22"/>
          <w:vertAlign w:val="baseline"/>
        </w:rPr>
        <w:t xml:space="preserve"> Спецификација предмета</w:t>
      </w:r>
      <w:r>
        <w:rPr>
          <w:rFonts w:eastAsia="Times New Roman" w:cs="Times New Roman" w:ascii="Times New Roman" w:hAnsi="Times New Roman"/>
          <w:b/>
        </w:rPr>
        <w:t xml:space="preserve"> </w:t>
      </w:r>
      <w:r>
        <w:rPr>
          <w:rFonts w:eastAsia="Times New Roman" w:cs="Times New Roman" w:ascii="Times New Roman" w:hAnsi="Times New Roman"/>
          <w:b/>
          <w:i/>
        </w:rPr>
        <w:t>Мит и митограгија</w:t>
      </w:r>
    </w:p>
    <w:p>
      <w:pPr>
        <w:pStyle w:val="Normal1"/>
        <w:jc w:val="center"/>
        <w:rPr>
          <w:rFonts w:ascii="Times New Roman" w:hAnsi="Times New Roman" w:eastAsia="Times New Roman" w:cs="Times New Roman"/>
          <w:position w:val="0"/>
          <w:sz w:val="22"/>
          <w:vertAlign w:val="baseline"/>
        </w:rPr>
      </w:pPr>
      <w:r>
        <w:rPr>
          <w:rFonts w:eastAsia="Times New Roman" w:cs="Times New Roman" w:ascii="Times New Roman" w:hAnsi="Times New Roman"/>
          <w:position w:val="0"/>
          <w:sz w:val="22"/>
          <w:vertAlign w:val="baseline"/>
        </w:rPr>
      </w:r>
    </w:p>
    <w:tbl>
      <w:tblPr>
        <w:tblStyle w:val="Table1"/>
        <w:tblW w:w="10776" w:type="dxa"/>
        <w:jc w:val="left"/>
        <w:tblInd w:w="-3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768"/>
        <w:gridCol w:w="1944"/>
        <w:gridCol w:w="1164"/>
        <w:gridCol w:w="2016"/>
        <w:gridCol w:w="1884"/>
      </w:tblGrid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Студијски програм: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културологије класичног наслеђа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/>
                <w:i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Назив предмета: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Мит и митографија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Наставник/наставници: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доц. др Ана Петковић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доц. др Горан Видовић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Статус предмета: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изборан.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Број ЕСПБ: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6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Услов: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нема.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both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Циљ предмета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Упознавање студената са теоријама и истраживачким методама на основу којих се мит и његова улога у аници и у савременом друштву поучава. 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both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Исход предмета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Формирање способности разумевања, критичке анализе и истраживања мита у антици; примена ових знања у проучавању старих култура и њихових утицаја у модерном друштву, књижевности и уметности.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Садржај предмета</w:t>
            </w:r>
          </w:p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both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Теоријска настава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1.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Појам мита. Однос мита према религији и ритуалу. Мит и историја. Античке теорије мита. Филозофска критика мита. Рационалистичка алегореза. Еухемеризам. Хришћанска критика паганског мита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—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2.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Теорије мита у новом веку (XIV - XIX в.); Бокачо; Хејнсијус, Ије; Лафито, Фонтенел, Вико; Хердер, Шелинг,Хегел; Ниче; М. Милер, Кун, Шварц.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—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3.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Савремене методе проучавања мита. Теорије мита у двадесетом веку. Етнолошко- антрополошка теорија мита, Тајлор, Спенсер, Ланг; ритуална теорија мита, Фрезер, Харисон, Мари; аналитичка психологија; сруктурализам.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—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Типологија митова. Појам компаративне митологије. Праиндоевропска митологија.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—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5.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 Грчка религија и  митологија.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—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6.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Римска религија и митологија.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—</w:t>
            </w:r>
            <w:r>
              <w:rPr>
                <w:position w:val="0"/>
                <w:sz w:val="22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7.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Мит у античкој књижевности и уметности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—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8.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Словенска митологија. Косовски мит на размеђи паганског и хришћанског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—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9.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Класични мит у књижевности и уметности средњег и новог века.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—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10.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Мит у модерној књижевности, уметности и култури.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—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11.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Класична и словенска митологија у модерној српској књижевности и уметности.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—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12.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Мит и модерно друштво.Трансформације класичног мита у савременој култури.</w:t>
            </w:r>
          </w:p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Практична настава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Садржаји курса практично се усвајају на књижевним текстoвима, на видео пројекцијама и приликом посета музејима/ археолошким збиркама.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Литература </w:t>
            </w:r>
          </w:p>
          <w:p>
            <w:pPr>
              <w:pStyle w:val="Normal1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Segal, Robert Alan.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2004.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Myth: A Very Short Introduction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. Oxford. </w:t>
            </w:r>
          </w:p>
          <w:p>
            <w:pPr>
              <w:pStyle w:val="Normal1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Kirk, G. S. 1974.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The Nature of Greek Myths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. Penguin Books.</w:t>
            </w:r>
          </w:p>
          <w:p>
            <w:pPr>
              <w:pStyle w:val="Normal1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Littleton, C. Scott. 1966.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The New Comparative Mythology: An Anthropological Assessment of the Theories of Georges Dumézil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. University of California Press.</w:t>
            </w:r>
          </w:p>
          <w:p>
            <w:pPr>
              <w:pStyle w:val="Heading1"/>
              <w:spacing w:lineRule="auto" w:line="240" w:before="0" w:after="0"/>
              <w:rPr/>
            </w:pPr>
            <w:hyperlink r:id="rId2">
              <w:r>
                <w:rPr>
                  <w:rStyle w:val="Style"/>
                  <w:rFonts w:eastAsia="Times New Roman" w:cs="Times New Roman" w:ascii="Times New Roman" w:hAnsi="Times New Roman"/>
                  <w:b w:val="false"/>
                  <w:color w:val="000000"/>
                  <w:position w:val="0"/>
                  <w:sz w:val="20"/>
                  <w:sz w:val="20"/>
                  <w:szCs w:val="20"/>
                  <w:u w:val="none"/>
                  <w:shd w:fill="auto" w:val="clear"/>
                  <w:vertAlign w:val="baseline"/>
                </w:rPr>
                <w:t>Doty</w:t>
              </w:r>
            </w:hyperlink>
            <w:r>
              <w:rPr>
                <w:rFonts w:eastAsia="Times New Roman" w:cs="Times New Roman" w:ascii="Times New Roman" w:hAnsi="Times New Roman"/>
                <w:b w:val="false"/>
                <w:position w:val="0"/>
                <w:sz w:val="20"/>
                <w:sz w:val="20"/>
                <w:szCs w:val="20"/>
                <w:vertAlign w:val="baseline"/>
              </w:rPr>
              <w:t xml:space="preserve">, </w:t>
            </w:r>
            <w:hyperlink r:id="rId3">
              <w:r>
                <w:rPr>
                  <w:rStyle w:val="Style"/>
                  <w:rFonts w:eastAsia="Times New Roman" w:cs="Times New Roman" w:ascii="Times New Roman" w:hAnsi="Times New Roman"/>
                  <w:b w:val="false"/>
                  <w:color w:val="000000"/>
                  <w:position w:val="0"/>
                  <w:sz w:val="20"/>
                  <w:sz w:val="20"/>
                  <w:szCs w:val="20"/>
                  <w:u w:val="none"/>
                  <w:shd w:fill="auto" w:val="clear"/>
                  <w:vertAlign w:val="baseline"/>
                </w:rPr>
                <w:t>William G</w:t>
              </w:r>
            </w:hyperlink>
            <w:r>
              <w:rPr>
                <w:rFonts w:eastAsia="Times New Roman" w:cs="Times New Roman" w:ascii="Times New Roman" w:hAnsi="Times New Roman"/>
                <w:b w:val="false"/>
                <w:position w:val="0"/>
                <w:sz w:val="20"/>
                <w:sz w:val="20"/>
                <w:szCs w:val="20"/>
                <w:vertAlign w:val="baseline"/>
              </w:rPr>
              <w:t xml:space="preserve">. 2000. </w:t>
            </w:r>
            <w:r>
              <w:rPr>
                <w:rFonts w:eastAsia="Times New Roman" w:cs="Times New Roman" w:ascii="Times New Roman" w:hAnsi="Times New Roman"/>
                <w:b w:val="false"/>
                <w:i/>
                <w:position w:val="0"/>
                <w:sz w:val="20"/>
                <w:sz w:val="20"/>
                <w:szCs w:val="20"/>
                <w:vertAlign w:val="baseline"/>
              </w:rPr>
              <w:t>Mythography: Тhe Study of Мyths and Rituals</w:t>
            </w:r>
            <w:r>
              <w:rPr>
                <w:rFonts w:eastAsia="Times New Roman" w:cs="Times New Roman" w:ascii="Times New Roman" w:hAnsi="Times New Roman"/>
                <w:b w:val="false"/>
                <w:position w:val="0"/>
                <w:sz w:val="20"/>
                <w:sz w:val="20"/>
                <w:szCs w:val="20"/>
                <w:vertAlign w:val="baseline"/>
              </w:rPr>
              <w:t>. University of Alabama Press.</w:t>
            </w:r>
          </w:p>
          <w:p>
            <w:pPr>
              <w:pStyle w:val="Normal1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Вернан, Жан-Пјер – Видал-Наке, Пјер.1993.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Мит и трагедија у античкој Грчкој (I- II)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. Сремски Карловци – Нови Сад.</w:t>
            </w:r>
          </w:p>
          <w:p>
            <w:pPr>
              <w:pStyle w:val="Normal1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Вејн, Пол. 1992.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Да ли су Грци веровали у своје митове?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Нови Сад.</w:t>
            </w:r>
          </w:p>
          <w:p>
            <w:pPr>
              <w:pStyle w:val="Normal1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Елијаде, Мирча.2011.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Расправа о историји религија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. Нови Сад.</w:t>
            </w:r>
          </w:p>
          <w:p>
            <w:pPr>
              <w:pStyle w:val="Normal1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Фрејзер, Џемс Џорџ. 1992.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Златна грана. Проучавање магије и рeлигије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. Београд.</w:t>
            </w:r>
          </w:p>
          <w:p>
            <w:pPr>
              <w:pStyle w:val="Normal1"/>
              <w:shd w:val="clear" w:fill="FFFFFF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Срејовић, Драгослав – Цермановић,Алксандрина. 1979.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Речник грчке и римске митологије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. Београд. </w:t>
            </w:r>
          </w:p>
          <w:p>
            <w:pPr>
              <w:pStyle w:val="Heading1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b w:val="false"/>
                <w:i/>
                <w:position w:val="0"/>
                <w:sz w:val="20"/>
                <w:sz w:val="20"/>
                <w:szCs w:val="20"/>
                <w:vertAlign w:val="baseline"/>
              </w:rPr>
              <w:t>The Cambridge Companion to Greek Mythology</w:t>
            </w:r>
            <w:r>
              <w:rPr>
                <w:rFonts w:eastAsia="Times New Roman" w:cs="Times New Roman" w:ascii="Times New Roman" w:hAnsi="Times New Roman"/>
                <w:b w:val="false"/>
                <w:position w:val="0"/>
                <w:sz w:val="20"/>
                <w:sz w:val="20"/>
                <w:szCs w:val="20"/>
                <w:vertAlign w:val="baseline"/>
              </w:rPr>
              <w:t xml:space="preserve">. 2008. Roger D. </w:t>
            </w:r>
            <w:hyperlink r:id="rId4">
              <w:r>
                <w:rPr>
                  <w:rStyle w:val="Style"/>
                  <w:rFonts w:eastAsia="Times New Roman" w:cs="Times New Roman" w:ascii="Times New Roman" w:hAnsi="Times New Roman"/>
                  <w:b w:val="false"/>
                  <w:color w:val="000000"/>
                  <w:position w:val="0"/>
                  <w:sz w:val="20"/>
                  <w:sz w:val="20"/>
                  <w:szCs w:val="20"/>
                  <w:u w:val="none"/>
                  <w:shd w:fill="auto" w:val="clear"/>
                  <w:vertAlign w:val="baseline"/>
                </w:rPr>
                <w:t>Woodard</w:t>
              </w:r>
            </w:hyperlink>
            <w:hyperlink r:id="rId5">
              <w:r>
                <w:rPr>
                  <w:rStyle w:val="Style"/>
                  <w:rFonts w:eastAsia="Times New Roman" w:cs="Times New Roman" w:ascii="Times New Roman" w:hAnsi="Times New Roman"/>
                  <w:b w:val="false"/>
                  <w:position w:val="0"/>
                  <w:sz w:val="20"/>
                  <w:sz w:val="20"/>
                  <w:szCs w:val="20"/>
                  <w:vertAlign w:val="baseline"/>
                </w:rPr>
                <w:t xml:space="preserve"> </w:t>
              </w:r>
            </w:hyperlink>
            <w:hyperlink r:id="rId6">
              <w:r>
                <w:rPr>
                  <w:rStyle w:val="Style"/>
                  <w:rFonts w:eastAsia="Times New Roman" w:cs="Times New Roman" w:ascii="Times New Roman" w:hAnsi="Times New Roman"/>
                  <w:b w:val="false"/>
                  <w:color w:val="000000"/>
                  <w:position w:val="0"/>
                  <w:sz w:val="20"/>
                  <w:sz w:val="20"/>
                  <w:szCs w:val="20"/>
                  <w:u w:val="none"/>
                  <w:shd w:fill="auto" w:val="clear"/>
                  <w:vertAlign w:val="baseline"/>
                </w:rPr>
                <w:t>(еd.)</w:t>
              </w:r>
            </w:hyperlink>
            <w:r>
              <w:rPr>
                <w:rFonts w:eastAsia="Times New Roman" w:cs="Times New Roman" w:ascii="Times New Roman" w:hAnsi="Times New Roman"/>
                <w:b w:val="false"/>
                <w:position w:val="0"/>
                <w:sz w:val="20"/>
                <w:sz w:val="20"/>
                <w:szCs w:val="20"/>
                <w:vertAlign w:val="baseline"/>
              </w:rPr>
              <w:t>. Cambridge.</w:t>
            </w:r>
          </w:p>
          <w:p>
            <w:pPr>
              <w:pStyle w:val="Normal1"/>
              <w:shd w:val="clear" w:fill="FFFFFF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The Oxford Handbook of Ancient Greek Religion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. 2016. E. Eidinow, J. Kindt (eds.). Oxford 2016.</w:t>
            </w:r>
          </w:p>
          <w:p>
            <w:pPr>
              <w:pStyle w:val="Normal1"/>
              <w:rPr/>
            </w:pP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A Companion to Roman Religion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. 2007. </w:t>
            </w:r>
            <w:hyperlink r:id="rId7">
              <w:r>
                <w:rPr>
                  <w:rStyle w:val="Style"/>
                  <w:rFonts w:eastAsia="Times New Roman" w:cs="Times New Roman" w:ascii="Times New Roman" w:hAnsi="Times New Roman"/>
                  <w:color w:val="000000"/>
                  <w:position w:val="0"/>
                  <w:sz w:val="20"/>
                  <w:sz w:val="20"/>
                  <w:szCs w:val="20"/>
                  <w:u w:val="none"/>
                  <w:shd w:fill="auto" w:val="clear"/>
                  <w:vertAlign w:val="baseline"/>
                </w:rPr>
                <w:t>Jörg Rüpke</w:t>
              </w:r>
            </w:hyperlink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(еd.). Wiley-Blackwell.</w:t>
            </w:r>
          </w:p>
          <w:p>
            <w:pPr>
              <w:pStyle w:val="Normal1"/>
              <w:rPr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The Oxford Classical Dictionary.</w:t>
            </w:r>
          </w:p>
        </w:tc>
      </w:tr>
      <w:tr>
        <w:trPr>
          <w:trHeight w:val="227" w:hRule="atLeast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Број часова  активне наставе</w:t>
            </w:r>
          </w:p>
        </w:tc>
        <w:tc>
          <w:tcPr>
            <w:tcW w:w="3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Теоријска настава: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Практична настава: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30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both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Методе извођења наставе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Демонстрација, рад на тексту, расправа на конкретним примерима из литературе. И на предавањима и на вежбањима користе се   методе којима се подстиче интеракција између предавача и студената.</w:t>
            </w:r>
          </w:p>
        </w:tc>
      </w:tr>
      <w:tr>
        <w:trPr>
          <w:trHeight w:val="227" w:hRule="atLeast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Оцена  знања (максимални број поена 100)</w:t>
            </w:r>
          </w:p>
        </w:tc>
      </w:tr>
      <w:tr>
        <w:trPr>
          <w:trHeight w:val="227" w:hRule="atLeast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Предиспитне обавезе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поена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Завршни испит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поена</w:t>
            </w:r>
          </w:p>
        </w:tc>
      </w:tr>
      <w:tr>
        <w:trPr>
          <w:trHeight w:val="227" w:hRule="atLeast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активност у току предавања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30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писмени испит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i w:val="false"/>
                <w:position w:val="0"/>
                <w:sz w:val="20"/>
                <w:sz w:val="20"/>
                <w:szCs w:val="20"/>
                <w:vertAlign w:val="baseline"/>
              </w:rPr>
            </w:r>
          </w:p>
        </w:tc>
      </w:tr>
      <w:tr>
        <w:trPr>
          <w:trHeight w:val="227" w:hRule="atLeast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практична настава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position w:val="0"/>
                <w:sz w:val="20"/>
                <w:sz w:val="20"/>
                <w:szCs w:val="20"/>
                <w:vertAlign w:val="baseline"/>
              </w:rPr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усмени испт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70</w:t>
            </w:r>
          </w:p>
        </w:tc>
      </w:tr>
      <w:tr>
        <w:trPr>
          <w:trHeight w:val="227" w:hRule="atLeast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колоквијум-и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position w:val="0"/>
                <w:sz w:val="20"/>
                <w:sz w:val="20"/>
                <w:szCs w:val="20"/>
                <w:vertAlign w:val="baseline"/>
              </w:rPr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i w:val="false"/>
                <w:position w:val="0"/>
                <w:sz w:val="20"/>
                <w:sz w:val="20"/>
                <w:szCs w:val="20"/>
                <w:vertAlign w:val="baseline"/>
              </w:rPr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i w:val="false"/>
                <w:position w:val="0"/>
                <w:sz w:val="20"/>
                <w:sz w:val="20"/>
                <w:szCs w:val="20"/>
                <w:vertAlign w:val="baseline"/>
              </w:rPr>
            </w:r>
          </w:p>
        </w:tc>
      </w:tr>
      <w:tr>
        <w:trPr>
          <w:trHeight w:val="227" w:hRule="atLeast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семинар-и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position w:val="0"/>
                <w:sz w:val="20"/>
                <w:sz w:val="20"/>
                <w:szCs w:val="20"/>
                <w:vertAlign w:val="baseline"/>
              </w:rPr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i w:val="false"/>
                <w:position w:val="0"/>
                <w:sz w:val="20"/>
                <w:sz w:val="20"/>
                <w:szCs w:val="20"/>
                <w:vertAlign w:val="baseline"/>
              </w:rPr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i w:val="false"/>
                <w:position w:val="0"/>
                <w:sz w:val="20"/>
                <w:sz w:val="20"/>
                <w:szCs w:val="20"/>
                <w:vertAlign w:val="baseline"/>
              </w:rPr>
            </w:r>
          </w:p>
        </w:tc>
      </w:tr>
    </w:tbl>
    <w:p>
      <w:pPr>
        <w:pStyle w:val="Normal1"/>
        <w:rPr/>
      </w:pPr>
      <w:r>
        <w:rPr/>
      </w:r>
    </w:p>
    <w:sectPr>
      <w:type w:val="nextPage"/>
      <w:pgSz w:w="11906" w:h="16838"/>
      <w:pgMar w:left="567" w:right="567" w:header="0" w:top="567" w:footer="0" w:bottom="567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s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sr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spacing w:lineRule="auto" w:line="240" w:before="240" w:after="60"/>
    </w:pPr>
    <w:rPr>
      <w:rFonts w:ascii="Arial" w:hAnsi="Arial" w:eastAsia="Arial" w:cs="Arial"/>
      <w:b/>
      <w:position w:val="0"/>
      <w:sz w:val="32"/>
      <w:sz w:val="32"/>
      <w:szCs w:val="32"/>
      <w:vertAlign w:val="baseline"/>
    </w:rPr>
  </w:style>
  <w:style w:type="paragraph" w:styleId="Heading2">
    <w:name w:val="Heading 2"/>
    <w:basedOn w:val="Normal1"/>
    <w:next w:val="Normal1"/>
    <w:qFormat/>
    <w:pPr>
      <w:keepNext w:val="true"/>
      <w:keepLines/>
      <w:spacing w:lineRule="auto" w:line="240" w:before="360" w:after="80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pPr>
      <w:keepNext w:val="true"/>
      <w:keepLines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1" w:default="1">
    <w:name w:val="LO-normal"/>
    <w:qFormat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sr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1lib.eu/g/Doty" TargetMode="External"/><Relationship Id="rId3" Type="http://schemas.openxmlformats.org/officeDocument/2006/relationships/hyperlink" Target="https://1lib.eu/g/William G" TargetMode="External"/><Relationship Id="rId4" Type="http://schemas.openxmlformats.org/officeDocument/2006/relationships/hyperlink" Target="https://1lib.eu/g/Roger D. Woodard (Editor)" TargetMode="External"/><Relationship Id="rId5" Type="http://schemas.openxmlformats.org/officeDocument/2006/relationships/hyperlink" Target="https://1lib.eu/g/Roger D. Woodard (Editor)" TargetMode="External"/><Relationship Id="rId6" Type="http://schemas.openxmlformats.org/officeDocument/2006/relationships/hyperlink" Target="https://1lib.eu/g/Roger D. Woodard (Editor)" TargetMode="External"/><Relationship Id="rId7" Type="http://schemas.openxmlformats.org/officeDocument/2006/relationships/hyperlink" Target="https://1lib.eu/g/J&#246;rg R&#252;pke" TargetMode="Externa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LibreOffice/6.3.4.2$Windows_X86_64 LibreOffice_project/60da17e045e08f1793c57c00ba83cdfce946d0aa</Application>
  <Pages>1</Pages>
  <Words>482</Words>
  <Characters>2975</Characters>
  <CharactersWithSpaces>3440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en-GB</dc:language>
  <cp:lastModifiedBy/>
  <dcterms:modified xsi:type="dcterms:W3CDTF">2020-09-26T15:25:57Z</dcterms:modified>
  <cp:revision>1</cp:revision>
  <dc:subject/>
  <dc:title/>
</cp:coreProperties>
</file>