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/>
      </w:pPr>
      <w:r>
        <w:rPr>
          <w:rFonts w:eastAsia="Times New Roman" w:cs="Times New Roman" w:ascii="Times New Roman" w:hAnsi="Times New Roman"/>
          <w:b/>
          <w:position w:val="0"/>
          <w:sz w:val="22"/>
          <w:vertAlign w:val="baseline"/>
        </w:rPr>
        <w:t>Табела 5.2.</w:t>
      </w:r>
      <w:r>
        <w:rPr>
          <w:rFonts w:eastAsia="Times New Roman" w:cs="Times New Roman" w:ascii="Times New Roman" w:hAnsi="Times New Roman"/>
          <w:position w:val="0"/>
          <w:sz w:val="22"/>
          <w:vertAlign w:val="baseline"/>
        </w:rPr>
        <w:t xml:space="preserve"> Спецификација предмета</w:t>
      </w:r>
      <w:r>
        <w:rPr>
          <w:rFonts w:eastAsia="Times New Roman" w:cs="Times New Roman" w:ascii="Times New Roman" w:hAnsi="Times New Roman"/>
          <w:b/>
          <w:i/>
          <w:position w:val="0"/>
          <w:sz w:val="22"/>
          <w:vertAlign w:val="baseline"/>
        </w:rPr>
        <w:t xml:space="preserve"> </w:t>
      </w:r>
      <w:r>
        <w:rPr>
          <w:rFonts w:eastAsia="Times New Roman" w:cs="Times New Roman" w:ascii="Times New Roman" w:hAnsi="Times New Roman"/>
          <w:b/>
          <w:i/>
        </w:rPr>
        <w:t>Култура античког Рима</w:t>
      </w:r>
    </w:p>
    <w:tbl>
      <w:tblPr>
        <w:tblStyle w:val="Table1"/>
        <w:tblW w:w="10716" w:type="dxa"/>
        <w:jc w:val="left"/>
        <w:tblInd w:w="5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20"/>
        <w:gridCol w:w="1932"/>
        <w:gridCol w:w="1152"/>
        <w:gridCol w:w="2028"/>
        <w:gridCol w:w="1884"/>
      </w:tblGrid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Студијски програм: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 културологије класичног наслеђа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Назив предмета: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Култура античког Рима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проф. др Снежана Ферјанчић, проф. др Ненад Ристовић, проф. др Гордан Маричић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изборни предмет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Услов: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нема.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Циљ предмета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Стицање знања о култури античког Рима; проширивање раније стечених знања о античком Риму из угла културне историје.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Исход предмета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Академски утемељена информисаност о култури античког Рима и оспособљеност у академским вештинама за даље бављење овом облашћу.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Теоријска настава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Наставни програм подељен је на следеће тематско-проблемске јединице: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1.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Историјско–географски и хронолошки оквири; организација римске државе у доба републике и царства (провинције и друге административне јединице, статус градова и других насеља).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2.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Институције и друштвена структура римске државе у доба републике и царства (друштвени слојеви и сталежи, сенат, магистратуре); римска војска (легије, помоћни одреди, преторијанска гарда).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Привредни живот римске државе у доба републике и царства, технолошки и инфраструктурни развој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 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4.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Вредносни систем: vir Romanus и његовe pietas, gravitas, humanitas, urbanitas, simplicitas. Религија – између приватног и друштвеног, потребе и норме. Епика као споменик и као поука (Невије, Еније, Вергилије).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5.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Писменост и образовање; septem artes liberales. Наука и филозофија (Лукреције, Варон, Цицерон, Сенека). Медицина.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 6.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Политика и јавни дискурс: беседништво као уметност полемике; сатира од јавне прозивке (Луцилије), преко подсмевања манама (Хорације) до моралистичке индигнације (Јувенал).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 7.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Слика о себи и другима: историографија – Цезар, Салустије, Ливије, Тацит; мемоарска књижевност, реалност и идеализација – Цезар, Салустије, Плиније Млађи.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 8.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Јавни спектакли. Позориште – од грчких узора до сурових трагедија и декламација. Амфитеатар – место борби људи и животиња, поморске битке, приче о гладијаторима.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 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9.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Приватни живот и otium: љубав, брак и развод; еманципација римске жене. Лиричари којима је љубав инспирација: Катул, Тибул, Проперције, Овидије.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10.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Путовања, бање – извори здравља, али и разврата. Храна, Апицијев јеловник. Преписка – стварна (Цицерон) и фиктивна (Овидије). Марцијалови епиграми као верна слика Рима – критика и величање.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 11.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Римско освајање Балканског полуострва, организација власти, урбанизација.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</w:t>
            </w: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12.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Римско право и законодавство. Наслеђе античког Рима у каснијој европској култури.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/>
            </w:pP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Практична настава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Теоријски елементи програма практично се усвајају и увежбавају на одабраним текстуалним примерима из античких извора у српском преводу.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Литература </w:t>
            </w:r>
          </w:p>
          <w:p>
            <w:pPr>
              <w:pStyle w:val="Normal1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highlight w:val="whit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J. Carcopino,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Rim u razdoblju najvišeg uspona carstva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, Naprijed, Zagreb 1981.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E. Fantham,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Roman Literary Culture from Plautus to Macrobius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, Baltimore: The Johns Hopkins UP,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2013.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P. Grimal,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Rimska civilizacija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, Beograd, 1968.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S. Harrison (ed.),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A Companion to Latin Literature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, Blackwell,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2008.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T. Holand,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Rubikon,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Trijumf i tragedija rimske republike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, prev. Žermen Filipović, Laguna, Beograd, 2008.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Историја српског народа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 I, Београд, 1981, 54–108.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F. Metizak,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24 sata u starom Rimu, Jedan dan iz života tamošnjih stanovnika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, prev. Žermen Filipović, Laguna, Beograd 2018.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highlight w:val="white"/>
                <w:vertAlign w:val="baseline"/>
              </w:rPr>
              <w:t>Оксфордска историја римског света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highlight w:val="white"/>
                <w:vertAlign w:val="baseline"/>
              </w:rPr>
              <w:t xml:space="preserve">, Београд, 1999.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D. S. Potter (ed.),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A Companion to the Roman Empire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, Malden – Oxford – Carlton, 2006.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N. Rosenstein, R.  Morstein-Marx (eds.),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vertAlign w:val="baseline"/>
              </w:rPr>
              <w:t>A Companion to the Roman Republic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, Malden – Oxford – Carlton, 2006.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highlight w:val="white"/>
                <w:vertAlign w:val="baseline"/>
              </w:rPr>
              <w:t xml:space="preserve">М. Ростовцев, </w:t>
            </w:r>
            <w:r>
              <w:rPr>
                <w:rFonts w:eastAsia="Times New Roman" w:cs="Times New Roman" w:ascii="Times New Roman" w:hAnsi="Times New Roman"/>
                <w:i/>
                <w:position w:val="0"/>
                <w:sz w:val="20"/>
                <w:sz w:val="20"/>
                <w:szCs w:val="20"/>
                <w:highlight w:val="white"/>
                <w:vertAlign w:val="baseline"/>
              </w:rPr>
              <w:t>Историја старог света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highlight w:val="white"/>
                <w:vertAlign w:val="baseline"/>
              </w:rPr>
              <w:t>, Београд, 2004.</w:t>
            </w:r>
          </w:p>
        </w:tc>
      </w:tr>
      <w:tr>
        <w:trPr>
          <w:trHeight w:val="227" w:hRule="atLeast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Број часова  активне наставе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Методе извођења наставе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Демонстрација, рад на тексту, реферисање из задате литературе. И на предавањима и на вежбањима користе се наставне методе којима се подстиче интеракција између предавача и студената.</w:t>
            </w:r>
          </w:p>
        </w:tc>
      </w:tr>
      <w:tr>
        <w:trPr>
          <w:trHeight w:val="227" w:hRule="atLeast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>Предиспитне обавезе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position w:val="0"/>
                <w:sz w:val="20"/>
                <w:sz w:val="20"/>
                <w:szCs w:val="20"/>
                <w:vertAlign w:val="baseline"/>
              </w:rPr>
              <w:t xml:space="preserve">Завршни испит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активност у току предавања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писмени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  <w:tr>
        <w:trPr>
          <w:trHeight w:val="227" w:hRule="atLeast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практична настава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усмени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70</w:t>
            </w:r>
          </w:p>
        </w:tc>
      </w:tr>
      <w:tr>
        <w:trPr>
          <w:trHeight w:val="227" w:hRule="atLeast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колоквијум-и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  <w:tr>
        <w:trPr>
          <w:trHeight w:val="227" w:hRule="atLeast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position w:val="0"/>
                <w:sz w:val="22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семинар-и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 w:val="false"/>
                <w:b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 w:val="false"/>
                <w:i w:val="false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position w:val="0"/>
                <w:sz w:val="20"/>
                <w:sz w:val="20"/>
                <w:szCs w:val="20"/>
                <w:vertAlign w:val="baseline"/>
              </w:rPr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1</Pages>
  <Words>540</Words>
  <Characters>3460</Characters>
  <CharactersWithSpaces>4003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2020-09-26T15:23:12Z</dcterms:modified>
  <cp:revision>1</cp:revision>
  <dc:subject/>
  <dc:title/>
</cp:coreProperties>
</file>