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06" w:rsidRDefault="00762173">
      <w:pPr>
        <w:pStyle w:val="normal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Образац 4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Г</w:t>
      </w:r>
    </w:p>
    <w:p w:rsidR="00916D06" w:rsidRDefault="00762173">
      <w:pPr>
        <w:pStyle w:val="normal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Г) ГРУПАЦИЈА ДРУШТВЕНО-ХУМАНИСТИЧКИХ НАУКА</w:t>
      </w:r>
    </w:p>
    <w:p w:rsidR="00916D06" w:rsidRDefault="00916D06">
      <w:pPr>
        <w:pStyle w:val="normal0"/>
        <w:spacing w:after="0"/>
        <w:ind w:left="770" w:hanging="5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ind w:left="763" w:hanging="4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 - О КОНКУРСУ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Назив факултета: Универзитет у Београду – Филозофски факултет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Ужа научна, oдносно уметничка област: класичне науке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Број кандидата који се бирају: 1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Број пријављених кандидата: 1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Имена пријављених кандидата: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1. Душан Ј. Поповић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2. -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16D06" w:rsidRDefault="00916D06">
      <w:pPr>
        <w:pStyle w:val="normal0"/>
        <w:spacing w:after="0"/>
        <w:ind w:left="770" w:hanging="5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ind w:left="770" w:hanging="5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ind w:left="770" w:hanging="5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- О КАНДИДАТИМА</w:t>
      </w:r>
    </w:p>
    <w:p w:rsidR="00916D06" w:rsidRDefault="00916D06">
      <w:pPr>
        <w:pStyle w:val="normal0"/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ind w:left="770" w:hanging="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1) - Основни биографски подаци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Име, средње име и презиме: Душан, Јован, Поповић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Датум и место рођења: 04.05.1972, Београд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Установа где је запослен: Универзитет у Београду – Филозофски факултет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Звање/радно место: доцент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Научна, односно уметничка област: класичне науке</w:t>
      </w:r>
    </w:p>
    <w:p w:rsidR="00916D06" w:rsidRDefault="00916D06">
      <w:pPr>
        <w:pStyle w:val="normal0"/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ind w:left="770" w:hanging="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2) - Стручна биографија, дипломе и звања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Основне студије: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Назив установе: Универзитет у Београду – Фи</w:t>
      </w:r>
      <w:r>
        <w:rPr>
          <w:rFonts w:ascii="Times New Roman" w:eastAsia="Times New Roman" w:hAnsi="Times New Roman" w:cs="Times New Roman"/>
          <w:sz w:val="20"/>
          <w:szCs w:val="20"/>
        </w:rPr>
        <w:t>лозофски факултет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Место и година завршетка: Београд, 1997.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Мастер:  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Назив установе: 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Место и година завршетка: 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Ужа научна, односно уметничка област: 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Магистеријум:  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Назив установе: Универзитет у Београду – Филозофски факултет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Место и година завршетка: Београд, 2003.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Ужа научна, односно уметничка област: класичне науке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Докторат: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Назив установе: Универзитет у Београду – Филозофски факултет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Место и година одбране: Београд, 2010.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Наслов дисертације: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Дросила и Харикле – ст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иховани роман Никите Евгенијана 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Традиција и иновација у оквирима византијског романа XII столећа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 Ужа научна, односно уметничка област: класичне науке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770" w:hanging="50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>асистент-приправник – 1997, асистент – 2004 и 2008, доцент – 2011 и 2016</w:t>
      </w:r>
    </w:p>
    <w:p w:rsidR="00916D06" w:rsidRDefault="00916D06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916D06" w:rsidRDefault="00762173">
      <w:pPr>
        <w:pStyle w:val="normal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3) Испуњени услови за избор у звање_________________________________</w:t>
      </w:r>
    </w:p>
    <w:p w:rsidR="00916D06" w:rsidRDefault="00916D06">
      <w:pPr>
        <w:pStyle w:val="normal0"/>
        <w:rPr>
          <w:rFonts w:ascii="Times New Roman" w:eastAsia="Times New Roman" w:hAnsi="Times New Roman" w:cs="Times New Roman"/>
        </w:rPr>
      </w:pPr>
    </w:p>
    <w:p w:rsidR="00916D06" w:rsidRDefault="00762173">
      <w:pPr>
        <w:pStyle w:val="normal0"/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ОБАВЕЗНИ УСЛОВИ:</w:t>
      </w: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8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6"/>
        <w:gridCol w:w="5632"/>
        <w:gridCol w:w="2340"/>
      </w:tblGrid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oценa / број година радног искуства </w:t>
            </w:r>
          </w:p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Просечна: 4,83 (највиша појединачна 5,00,  најнижа – 4,25).</w:t>
            </w: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Искуство у педагошком раду са студентима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 године</w:t>
            </w:r>
          </w:p>
        </w:tc>
      </w:tr>
    </w:tbl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0"/>
        <w:tblW w:w="8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6"/>
        <w:gridCol w:w="5632"/>
        <w:gridCol w:w="2340"/>
      </w:tblGrid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Резултати у развоју научнонаставног подмлатка</w:t>
            </w:r>
          </w:p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      4</w:t>
            </w:r>
          </w:p>
        </w:tc>
      </w:tr>
      <w:tr w:rsidR="00916D0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      3</w:t>
            </w:r>
          </w:p>
        </w:tc>
      </w:tr>
    </w:tbl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1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8"/>
        <w:gridCol w:w="4461"/>
        <w:gridCol w:w="1306"/>
        <w:gridCol w:w="3391"/>
      </w:tblGrid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Зборник радова Византолошког института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56 (2019), 109-29.</w:t>
            </w:r>
          </w:p>
          <w:p w:rsidR="00916D06" w:rsidRDefault="00762173">
            <w:pPr>
              <w:pStyle w:val="normal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Lucida intervalla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48 (2019), 165-73.</w:t>
            </w:r>
          </w:p>
          <w:p w:rsidR="00916D06" w:rsidRDefault="00762173">
            <w:pPr>
              <w:pStyle w:val="normal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Lucida intervalla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47 (2018), 277-86.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Pathe: the Language and Philosophy of Emotions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Belgrade 2019, 185-95.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Сарадник на домаћем научном пројекту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Хришћанска култура на Балкану у средњем веку: Византијско царство, Срби и Бугари од 9. до 15. 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(ев. бр. 177015), МПНТР РС.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Одобрен и објављен 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72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Објављена један рад из категорије М20 или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четири рада из категорије М51 у периоду од последњег избора из научне области за коју се бира.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(за поновни избор ванр. проф)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72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Један рад са међународног научног скупа објављен у целини категорије М31 или М33.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(за поновни избор ванр. проф)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72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(за поновни избор ванр. проф)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ванредног професора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ванредног професора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Цитираност од 10 xeтepo цитата.</w:t>
            </w:r>
          </w:p>
          <w:p w:rsidR="00916D06" w:rsidRDefault="00916D06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916D06" w:rsidRDefault="00916D06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916D06" w:rsidRDefault="00916D06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-216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6D06">
        <w:trPr>
          <w:trHeight w:val="584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916D06">
            <w:pPr>
              <w:pStyle w:val="normal0"/>
              <w:spacing w:after="0"/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16D06" w:rsidRDefault="00916D06">
      <w:pPr>
        <w:pStyle w:val="normal0"/>
        <w:rPr>
          <w:sz w:val="20"/>
          <w:szCs w:val="20"/>
        </w:rPr>
      </w:pPr>
    </w:p>
    <w:p w:rsidR="00916D06" w:rsidRDefault="00916D06">
      <w:pPr>
        <w:pStyle w:val="normal0"/>
        <w:rPr>
          <w:sz w:val="20"/>
          <w:szCs w:val="20"/>
        </w:rPr>
      </w:pPr>
    </w:p>
    <w:p w:rsidR="00916D06" w:rsidRDefault="00916D06">
      <w:pPr>
        <w:pStyle w:val="normal0"/>
        <w:rPr>
          <w:sz w:val="20"/>
          <w:szCs w:val="20"/>
        </w:rPr>
      </w:pPr>
    </w:p>
    <w:p w:rsidR="00916D06" w:rsidRDefault="00916D06">
      <w:pPr>
        <w:pStyle w:val="normal0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ИЗБОРНИ УСЛОВИ:</w:t>
      </w:r>
    </w:p>
    <w:p w:rsidR="00916D06" w:rsidRDefault="00916D06">
      <w:pPr>
        <w:pStyle w:val="normal0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2"/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98"/>
        <w:gridCol w:w="6389"/>
      </w:tblGrid>
      <w:tr w:rsidR="00916D06"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72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Заокружити ближе одреднице</w:t>
            </w:r>
          </w:p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(најмање пo једна из 2 изабрана услова)</w:t>
            </w:r>
          </w:p>
          <w:p w:rsidR="00916D06" w:rsidRDefault="00916D0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6D06"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Председник или члан комисија за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раду завршних радова на академским мастер или докторским студијама.*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Руководилац или сарадник на домаћим и међународним научним пројектима.**</w:t>
            </w:r>
          </w:p>
          <w:p w:rsidR="00916D06" w:rsidRDefault="00916D0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 Учествовао у 4 комисије за израду и одбрану завршних мастер студија и у 3 комисије за оцену и одбрану доктор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ске дисертације.</w:t>
            </w:r>
          </w:p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** Сарађивао на домећем научном пројекту. </w:t>
            </w:r>
          </w:p>
        </w:tc>
      </w:tr>
      <w:tr w:rsidR="00916D06"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стручним или научним асоцијацијама у које се члан бира.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Председник или члан органа упра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вљања, стручног органа или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комисија на факултету или универзитету у земљи или иностранству.*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наставника) или у активностима популаризације науке.</w:t>
            </w:r>
          </w:p>
          <w:p w:rsidR="00916D06" w:rsidRDefault="00762173">
            <w:pPr>
              <w:pStyle w:val="normal0"/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Домаће или међународне награде и 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изнања у развоју образовања или науке.</w:t>
            </w:r>
          </w:p>
          <w:p w:rsidR="00916D06" w:rsidRDefault="00916D06">
            <w:pPr>
              <w:pStyle w:val="normal0"/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6D06" w:rsidRDefault="00762173">
            <w:pPr>
              <w:pStyle w:val="normal0"/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 Члан факултетске Комисије за библиотеке и Комисије за научно-техничку документацију.</w:t>
            </w:r>
          </w:p>
        </w:tc>
      </w:tr>
      <w:tr w:rsidR="00916D06"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фесора или истраживача.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916D06" w:rsidRDefault="00762173">
            <w:pPr>
              <w:pStyle w:val="normal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916D06" w:rsidRDefault="0076217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916D06" w:rsidRDefault="00916D06">
      <w:pPr>
        <w:pStyle w:val="normal0"/>
        <w:rPr>
          <w:sz w:val="20"/>
          <w:szCs w:val="20"/>
        </w:rPr>
      </w:pPr>
    </w:p>
    <w:p w:rsidR="00916D06" w:rsidRDefault="00762173">
      <w:pPr>
        <w:pStyle w:val="normal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b/>
          <w:sz w:val="20"/>
          <w:szCs w:val="20"/>
        </w:rPr>
        <w:t xml:space="preserve">*Напомена: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На крају табеле кратко описати заокружену одредницу</w:t>
      </w: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III - ЗАКЉУЧНО МИШЉЕЊЕ И ПРЕДЛОГ КОМИСИЈЕ</w:t>
      </w:r>
    </w:p>
    <w:p w:rsidR="00916D06" w:rsidRDefault="00916D06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Имајући у виду да је канддат објавио неколико научних радова у престижним публикацијама, да учествује у извођењу различитих облика наставе, те да је ангажован и у разним ваннаставним и научно-истраживачким активностима на Факултету и ван њега, Комисија пре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длаже да се др Душан Поповић изабере у звање доцента за ужу научну област класичне науке. </w:t>
      </w:r>
    </w:p>
    <w:p w:rsidR="00916D06" w:rsidRDefault="00916D06">
      <w:pPr>
        <w:pStyle w:val="normal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Место и датум: Београд,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21. 11 . </w:t>
      </w:r>
      <w:r>
        <w:rPr>
          <w:rFonts w:ascii="Times New Roman" w:eastAsia="Times New Roman" w:hAnsi="Times New Roman" w:cs="Times New Roman"/>
          <w:sz w:val="20"/>
          <w:szCs w:val="20"/>
        </w:rPr>
        <w:t>2020.</w:t>
      </w: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ПОТПИСИ </w:t>
      </w:r>
    </w:p>
    <w:p w:rsidR="00916D06" w:rsidRDefault="00762173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ЧЛАНОВА КОМИСИЈЕ</w:t>
      </w:r>
    </w:p>
    <w:p w:rsidR="00916D06" w:rsidRDefault="00916D06">
      <w:pPr>
        <w:pStyle w:val="normal0"/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916D06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проф. др Војислав Јелић</w:t>
      </w: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(председавајући Комисије)</w:t>
      </w:r>
    </w:p>
    <w:p w:rsidR="00916D06" w:rsidRDefault="00916D06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проф. др Ненад Ристовић</w:t>
      </w:r>
    </w:p>
    <w:p w:rsidR="00916D06" w:rsidRDefault="00916D06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_____________________________</w:t>
      </w:r>
    </w:p>
    <w:p w:rsidR="00916D06" w:rsidRDefault="00762173">
      <w:pPr>
        <w:pStyle w:val="normal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доц. др Ана Елаковић </w:t>
      </w:r>
    </w:p>
    <w:p w:rsidR="00916D06" w:rsidRDefault="00916D06">
      <w:pPr>
        <w:pStyle w:val="normal0"/>
      </w:pPr>
    </w:p>
    <w:sectPr w:rsidR="00916D06" w:rsidSect="00916D0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5523F"/>
    <w:multiLevelType w:val="multilevel"/>
    <w:tmpl w:val="9FB8C1B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i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A807EBB"/>
    <w:multiLevelType w:val="multilevel"/>
    <w:tmpl w:val="5A504BF8"/>
    <w:lvl w:ilvl="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6D06"/>
    <w:rsid w:val="00762173"/>
    <w:rsid w:val="0091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0"/>
    <w:autoRedefine/>
    <w:hidden/>
    <w:qFormat/>
    <w:rsid w:val="00916D06"/>
    <w:pPr>
      <w:suppressAutoHyphens/>
      <w:spacing w:line="259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0"/>
    <w:next w:val="normal0"/>
    <w:rsid w:val="00916D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916D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916D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916D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916D0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916D0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16D06"/>
  </w:style>
  <w:style w:type="paragraph" w:styleId="Title">
    <w:name w:val="Title"/>
    <w:basedOn w:val="normal0"/>
    <w:next w:val="normal0"/>
    <w:rsid w:val="00916D06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autoRedefine/>
    <w:hidden/>
    <w:qFormat/>
    <w:rsid w:val="00916D06"/>
    <w:pPr>
      <w:tabs>
        <w:tab w:val="left" w:pos="1800"/>
      </w:tabs>
      <w:spacing w:after="0" w:line="240" w:lineRule="auto"/>
      <w:jc w:val="center"/>
    </w:pPr>
    <w:rPr>
      <w:rFonts w:ascii="Arial" w:hAnsi="Arial" w:cs="Arial"/>
    </w:rPr>
  </w:style>
  <w:style w:type="character" w:customStyle="1" w:styleId="Bodytext22">
    <w:name w:val="Body text (2)2"/>
    <w:autoRedefine/>
    <w:hidden/>
    <w:qFormat/>
    <w:rsid w:val="00916D06"/>
    <w:rPr>
      <w:rFonts w:ascii="Calibri" w:hAnsi="Calibri"/>
      <w:color w:val="000000"/>
      <w:spacing w:val="0"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Bodytext2Exact5">
    <w:name w:val="Body text (2) Exact5"/>
    <w:autoRedefine/>
    <w:hidden/>
    <w:qFormat/>
    <w:rsid w:val="00916D06"/>
    <w:rPr>
      <w:rFonts w:ascii="Calibri" w:hAnsi="Calibri"/>
      <w:color w:val="000000"/>
      <w:spacing w:val="0"/>
      <w:w w:val="100"/>
      <w:position w:val="0"/>
      <w:sz w:val="22"/>
      <w:u w:val="none"/>
      <w:effect w:val="none"/>
      <w:vertAlign w:val="baseline"/>
      <w:cs w:val="0"/>
      <w:em w:val="none"/>
    </w:rPr>
  </w:style>
  <w:style w:type="character" w:customStyle="1" w:styleId="HeaderChar">
    <w:name w:val="Header Char"/>
    <w:autoRedefine/>
    <w:hidden/>
    <w:qFormat/>
    <w:rsid w:val="00916D06"/>
    <w:rPr>
      <w:rFonts w:ascii="Arial" w:hAnsi="Arial" w:cs="Arial"/>
      <w:w w:val="100"/>
      <w:position w:val="-1"/>
      <w:sz w:val="22"/>
      <w:effect w:val="none"/>
      <w:vertAlign w:val="baseline"/>
      <w:cs w:val="0"/>
      <w:em w:val="none"/>
      <w:lang w:eastAsia="en-US" w:bidi="ar-SA"/>
    </w:rPr>
  </w:style>
  <w:style w:type="paragraph" w:styleId="Subtitle">
    <w:name w:val="Subtitle"/>
    <w:basedOn w:val="Normal"/>
    <w:next w:val="Normal"/>
    <w:rsid w:val="00916D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16D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16D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916D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916D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QCdot1z+Q0iO2ycu3HTvKc28Pg==">AMUW2mW0uf1sE/lm2dx1Pa5rCXJQIjSMbpi5d0srvZzSgT3SpRowPdlxPZSfvDXK2iBe54nVJtIXSczKghv/77Wh4x39o7F+3ASgMLZFwhPiAjHkvegiPSY=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7143</Characters>
  <Application>Microsoft Office Word</Application>
  <DocSecurity>0</DocSecurity>
  <Lines>59</Lines>
  <Paragraphs>16</Paragraphs>
  <ScaleCrop>false</ScaleCrop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dcterms:created xsi:type="dcterms:W3CDTF">2020-11-24T11:15:00Z</dcterms:created>
  <dcterms:modified xsi:type="dcterms:W3CDTF">2020-11-24T11:15:00Z</dcterms:modified>
</cp:coreProperties>
</file>