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bottom w:color="000000" w:space="1" w:sz="12" w:val="single"/>
        </w:pBd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„Позив на редовни избор чланова Студентског парламента“</w:t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Редовни избор чланова Студентског парламента ће се одржати дана 3. октобра 2025. године у периоду од 10 до 14 часова у холу првог спрата Филозофског факултета.</w:t>
      </w:r>
    </w:p>
    <w:p w:rsidR="00000000" w:rsidDel="00000000" w:rsidP="00000000" w:rsidRDefault="00000000" w:rsidRPr="00000000" w14:paraId="0000000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Пријем кандидатура за чланове Студентског парламента који се бирају на редовном избору се врши од 17. септембра 2025. године до 24. септембра 2025. године, у периоду од 11 до 13 часова, у сали 65 Филозофског факултета на првом спрату.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Кандидатуру предаје лично лице које се њоме предлаже за кандидата, предајом попуњеног Обрасца 1.</w:t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У прилогу попуњеног Обрасца 1 се доставља: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потврда о статусу студента лица које кандидатуру предаје;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кратка биографија лица које кандидатуру предаје;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једну од следећих ставки: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акт студентске организације студената са одељења Филозофског факултета чији је студент лице које кандидатуру предаје, а којом се то лице предлаже за кандидата;</w:t>
        <w:br w:type="textWrapping"/>
        <w:t xml:space="preserve">- акт студентске организације студената Филозофског факултета којом се лице које кандидатуру предаје предлаже за кандидата;</w:t>
        <w:br w:type="textWrapping"/>
        <w:t xml:space="preserve">- акт студентске организације студената са инвалидитетом којом се лице које кандидатуру предаје предлаже за кандидата;</w:t>
        <w:br w:type="textWrapping"/>
        <w:t xml:space="preserve">- писана изјава подршке која садржи имена, презимена и потписе 10% студената Филозофског факултета, а којом се лице које кандидатуру предаје предлаже за кандидата.</w:t>
      </w:r>
    </w:p>
    <w:p w:rsidR="00000000" w:rsidDel="00000000" w:rsidP="00000000" w:rsidRDefault="00000000" w:rsidRPr="00000000" w14:paraId="0000000C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На редовном избору се бира укупно 61 чланова Студентског парламента и то: 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line="276" w:lineRule="auto"/>
        <w:ind w:left="726" w:hanging="357"/>
        <w:rPr/>
      </w:pPr>
      <w:r w:rsidDel="00000000" w:rsidR="00000000" w:rsidRPr="00000000">
        <w:rPr>
          <w:rtl w:val="0"/>
        </w:rPr>
        <w:t xml:space="preserve">по један (1) члан из реда студената са студијске групе основних академских студија први пут уписани текуће школске године на Факултету;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line="276" w:lineRule="auto"/>
        <w:ind w:left="726" w:hanging="357"/>
        <w:rPr/>
      </w:pPr>
      <w:r w:rsidDel="00000000" w:rsidR="00000000" w:rsidRPr="00000000">
        <w:rPr>
          <w:rtl w:val="0"/>
        </w:rPr>
        <w:t xml:space="preserve">по један (1) члан из реда студената са студијске групе основних академских студија први пут уписани годину дана пре текуће школске године на Факултету;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line="276" w:lineRule="auto"/>
        <w:ind w:left="726" w:hanging="357"/>
        <w:rPr/>
      </w:pPr>
      <w:r w:rsidDel="00000000" w:rsidR="00000000" w:rsidRPr="00000000">
        <w:rPr>
          <w:rtl w:val="0"/>
        </w:rPr>
        <w:t xml:space="preserve">по један (1) члан из реда студената са студијске групе основних академских студија први пут уписани две године пре текуће школске године на Факултету;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="276" w:lineRule="auto"/>
        <w:ind w:left="726" w:hanging="357"/>
        <w:rPr/>
      </w:pPr>
      <w:r w:rsidDel="00000000" w:rsidR="00000000" w:rsidRPr="00000000">
        <w:rPr>
          <w:rtl w:val="0"/>
        </w:rPr>
        <w:t xml:space="preserve">по један (1) члан из реда студената са студијске групе основних академских студија први пут уписани три године пре текуће школске године на Факултету;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line="276" w:lineRule="auto"/>
        <w:ind w:left="726" w:hanging="357"/>
        <w:rPr/>
      </w:pPr>
      <w:r w:rsidDel="00000000" w:rsidR="00000000" w:rsidRPr="00000000">
        <w:rPr>
          <w:rtl w:val="0"/>
        </w:rPr>
        <w:t xml:space="preserve">по један (1) члан из реда студената са студијске групе основних академских студија први пут уписани четири или више година пре текуће школске године на Факултету;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line="276" w:lineRule="auto"/>
        <w:ind w:left="726" w:hanging="357"/>
        <w:rPr/>
      </w:pPr>
      <w:r w:rsidDel="00000000" w:rsidR="00000000" w:rsidRPr="00000000">
        <w:rPr>
          <w:rtl w:val="0"/>
        </w:rPr>
        <w:t xml:space="preserve">по један (1) члан из реда студената са студијске групе мастер и докторских студија.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line="276" w:lineRule="auto"/>
        <w:ind w:left="726" w:hanging="357"/>
        <w:rPr/>
      </w:pPr>
      <w:r w:rsidDel="00000000" w:rsidR="00000000" w:rsidRPr="00000000">
        <w:rPr>
          <w:rtl w:val="0"/>
        </w:rPr>
        <w:t xml:space="preserve">један (1) представник студената уписаних по афирмативним мерама и студената са инвалидитетом на Филозофском факултету.</w:t>
      </w:r>
    </w:p>
    <w:p w:rsidR="00000000" w:rsidDel="00000000" w:rsidP="00000000" w:rsidRDefault="00000000" w:rsidRPr="00000000" w14:paraId="00000014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Под студијским групама у смислу овог члана сматрају се студијски програми: Историја, Социологија, Филозофија, Педагогија, Андрагогија, Психологија, Историја уметности, Класичне науке, Археологија и Етнологија и антропологија.</w:t>
      </w:r>
    </w:p>
    <w:p w:rsidR="00000000" w:rsidDel="00000000" w:rsidP="00000000" w:rsidRDefault="00000000" w:rsidRPr="00000000" w14:paraId="00000016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bottom w:color="000000" w:space="1" w:sz="12" w:val="single"/>
        </w:pBdr>
        <w:spacing w:after="0" w:line="276" w:lineRule="auto"/>
        <w:rPr/>
      </w:pPr>
      <w:r w:rsidDel="00000000" w:rsidR="00000000" w:rsidRPr="00000000">
        <w:rPr>
          <w:rtl w:val="0"/>
        </w:rPr>
        <w:t xml:space="preserve">Образац 1 и електронски примерак Одлуке о ближим условима и поступку спровођења редовног избора се налазе у прилогу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8" w:hanging="360"/>
      </w:pPr>
      <w:rPr/>
    </w:lvl>
    <w:lvl w:ilvl="1">
      <w:start w:val="1"/>
      <w:numFmt w:val="lowerLetter"/>
      <w:lvlText w:val="%2."/>
      <w:lvlJc w:val="left"/>
      <w:pPr>
        <w:ind w:left="1448" w:hanging="360"/>
      </w:pPr>
      <w:rPr/>
    </w:lvl>
    <w:lvl w:ilvl="2">
      <w:start w:val="1"/>
      <w:numFmt w:val="lowerRoman"/>
      <w:lvlText w:val="%3."/>
      <w:lvlJc w:val="right"/>
      <w:pPr>
        <w:ind w:left="2168" w:hanging="180"/>
      </w:pPr>
      <w:rPr/>
    </w:lvl>
    <w:lvl w:ilvl="3">
      <w:start w:val="1"/>
      <w:numFmt w:val="decimal"/>
      <w:lvlText w:val="%4."/>
      <w:lvlJc w:val="left"/>
      <w:pPr>
        <w:ind w:left="2888" w:hanging="360"/>
      </w:pPr>
      <w:rPr/>
    </w:lvl>
    <w:lvl w:ilvl="4">
      <w:start w:val="1"/>
      <w:numFmt w:val="lowerLetter"/>
      <w:lvlText w:val="%5."/>
      <w:lvlJc w:val="left"/>
      <w:pPr>
        <w:ind w:left="3608" w:hanging="360"/>
      </w:pPr>
      <w:rPr/>
    </w:lvl>
    <w:lvl w:ilvl="5">
      <w:start w:val="1"/>
      <w:numFmt w:val="lowerRoman"/>
      <w:lvlText w:val="%6."/>
      <w:lvlJc w:val="right"/>
      <w:pPr>
        <w:ind w:left="4328" w:hanging="180"/>
      </w:pPr>
      <w:rPr/>
    </w:lvl>
    <w:lvl w:ilvl="6">
      <w:start w:val="1"/>
      <w:numFmt w:val="decimal"/>
      <w:lvlText w:val="%7."/>
      <w:lvlJc w:val="left"/>
      <w:pPr>
        <w:ind w:left="5048" w:hanging="360"/>
      </w:pPr>
      <w:rPr/>
    </w:lvl>
    <w:lvl w:ilvl="7">
      <w:start w:val="1"/>
      <w:numFmt w:val="lowerLetter"/>
      <w:lvlText w:val="%8."/>
      <w:lvlJc w:val="left"/>
      <w:pPr>
        <w:ind w:left="5768" w:hanging="360"/>
      </w:pPr>
      <w:rPr/>
    </w:lvl>
    <w:lvl w:ilvl="8">
      <w:start w:val="1"/>
      <w:numFmt w:val="lowerRoman"/>
      <w:lvlText w:val="%9."/>
      <w:lvlJc w:val="right"/>
      <w:pPr>
        <w:ind w:left="6488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>
        <w:spacing w:after="160" w:line="36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jc w:val="center"/>
    </w:pPr>
    <w:rPr>
      <w:rFonts w:ascii="Calibri" w:cs="Calibri" w:eastAsia="Calibri" w:hAnsi="Calibri"/>
      <w:smallCaps w:val="1"/>
      <w:sz w:val="36"/>
      <w:szCs w:val="36"/>
    </w:rPr>
  </w:style>
  <w:style w:type="paragraph" w:styleId="Heading2">
    <w:name w:val="heading 2"/>
    <w:basedOn w:val="Normal"/>
    <w:next w:val="Normal"/>
    <w:pPr>
      <w:spacing w:after="120" w:lineRule="auto"/>
    </w:pPr>
    <w:rPr>
      <w:rFonts w:ascii="Calibri" w:cs="Calibri" w:eastAsia="Calibri" w:hAnsi="Calibri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color w:val="595959"/>
    </w:rPr>
  </w:style>
  <w:style w:type="paragraph" w:styleId="Title">
    <w:name w:val="Title"/>
    <w:basedOn w:val="Normal"/>
    <w:next w:val="Normal"/>
    <w:pPr>
      <w:spacing w:after="0" w:lineRule="auto"/>
      <w:jc w:val="center"/>
    </w:pPr>
    <w:rPr>
      <w:rFonts w:ascii="Calibri" w:cs="Calibri" w:eastAsia="Calibri" w:hAnsi="Calibri"/>
      <w:i w:val="1"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3A2F46"/>
    <w:pPr>
      <w:keepNext w:val="1"/>
      <w:keepLines w:val="1"/>
      <w:spacing w:after="0" w:before="40"/>
      <w:outlineLvl w:val="6"/>
    </w:pPr>
    <w:rPr>
      <w:rFonts w:asciiTheme="minorHAnsi" w:eastAsiaTheme="majorEastAsia" w:hAnsiTheme="minorHAnsi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3A2F46"/>
    <w:pPr>
      <w:keepNext w:val="1"/>
      <w:keepLines w:val="1"/>
      <w:spacing w:after="0"/>
      <w:outlineLvl w:val="7"/>
    </w:pPr>
    <w:rPr>
      <w:rFonts w:asciiTheme="minorHAnsi" w:eastAsiaTheme="majorEastAsia" w:hAnsiTheme="minorHAnsi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3A2F46"/>
    <w:pPr>
      <w:keepNext w:val="1"/>
      <w:keepLines w:val="1"/>
      <w:spacing w:after="0"/>
      <w:outlineLvl w:val="8"/>
    </w:pPr>
    <w:rPr>
      <w:rFonts w:asciiTheme="minorHAnsi" w:eastAsiaTheme="majorEastAsia" w:hAnsiTheme="minorHAnsi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aliases w:val="Glavni naslov Char"/>
    <w:basedOn w:val="DefaultParagraphFont"/>
    <w:link w:val="Heading1"/>
    <w:uiPriority w:val="9"/>
    <w:rsid w:val="006A2537"/>
    <w:rPr>
      <w:rFonts w:eastAsiaTheme="majorEastAsia"/>
      <w:caps w:val="1"/>
      <w:sz w:val="36"/>
    </w:rPr>
  </w:style>
  <w:style w:type="character" w:styleId="Heading2Char" w:customStyle="1">
    <w:name w:val="Heading 2 Char"/>
    <w:aliases w:val="Podnaslov Char"/>
    <w:basedOn w:val="DefaultParagraphFont"/>
    <w:link w:val="Heading2"/>
    <w:uiPriority w:val="9"/>
    <w:rsid w:val="006A2537"/>
    <w:rPr>
      <w:noProof w:val="1"/>
      <w:sz w:val="26"/>
    </w:rPr>
  </w:style>
  <w:style w:type="character" w:styleId="TitleChar" w:customStyle="1">
    <w:name w:val="Title Char"/>
    <w:aliases w:val="Podnaslov 2 Char"/>
    <w:basedOn w:val="DefaultParagraphFont"/>
    <w:link w:val="Title"/>
    <w:uiPriority w:val="10"/>
    <w:rsid w:val="00917261"/>
    <w:rPr>
      <w:rFonts w:eastAsiaTheme="majorEastAsia"/>
      <w:i w:val="1"/>
      <w:spacing w:val="-10"/>
      <w:kern w:val="28"/>
      <w:sz w:val="26"/>
      <w:szCs w:val="56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3A2F46"/>
    <w:rPr>
      <w:rFonts w:cstheme="majorBidi" w:eastAsiaTheme="majorEastAsia"/>
      <w:noProof w:val="1"/>
      <w:color w:val="2f5496" w:themeColor="accent1" w:themeShade="0000BF"/>
      <w:kern w:val="0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3A2F46"/>
    <w:rPr>
      <w:rFonts w:cstheme="majorBidi" w:eastAsiaTheme="majorEastAsia"/>
      <w:i w:val="1"/>
      <w:iCs w:val="1"/>
      <w:noProof w:val="1"/>
      <w:color w:val="2f5496" w:themeColor="accent1" w:themeShade="0000BF"/>
      <w:kern w:val="0"/>
      <w:sz w:val="24"/>
      <w:szCs w:val="32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3A2F46"/>
    <w:rPr>
      <w:rFonts w:cstheme="majorBidi" w:eastAsiaTheme="majorEastAsia"/>
      <w:noProof w:val="1"/>
      <w:color w:val="2f5496" w:themeColor="accent1" w:themeShade="0000BF"/>
      <w:kern w:val="0"/>
      <w:sz w:val="24"/>
      <w:szCs w:val="32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3A2F46"/>
    <w:rPr>
      <w:rFonts w:cstheme="majorBidi" w:eastAsiaTheme="majorEastAsia"/>
      <w:i w:val="1"/>
      <w:iCs w:val="1"/>
      <w:noProof w:val="1"/>
      <w:color w:val="595959" w:themeColor="text1" w:themeTint="0000A6"/>
      <w:kern w:val="0"/>
      <w:sz w:val="24"/>
      <w:szCs w:val="32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3A2F46"/>
    <w:rPr>
      <w:rFonts w:cstheme="majorBidi" w:eastAsiaTheme="majorEastAsia"/>
      <w:noProof w:val="1"/>
      <w:color w:val="595959" w:themeColor="text1" w:themeTint="0000A6"/>
      <w:kern w:val="0"/>
      <w:sz w:val="24"/>
      <w:szCs w:val="32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3A2F46"/>
    <w:rPr>
      <w:rFonts w:cstheme="majorBidi" w:eastAsiaTheme="majorEastAsia"/>
      <w:i w:val="1"/>
      <w:iCs w:val="1"/>
      <w:noProof w:val="1"/>
      <w:color w:val="272727" w:themeColor="text1" w:themeTint="0000D8"/>
      <w:kern w:val="0"/>
      <w:sz w:val="24"/>
      <w:szCs w:val="32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3A2F46"/>
    <w:rPr>
      <w:rFonts w:cstheme="majorBidi" w:eastAsiaTheme="majorEastAsia"/>
      <w:noProof w:val="1"/>
      <w:color w:val="272727" w:themeColor="text1" w:themeTint="0000D8"/>
      <w:kern w:val="0"/>
      <w:sz w:val="24"/>
      <w:szCs w:val="32"/>
    </w:rPr>
  </w:style>
  <w:style w:type="character" w:styleId="SubtitleChar" w:customStyle="1">
    <w:name w:val="Subtitle Char"/>
    <w:basedOn w:val="DefaultParagraphFont"/>
    <w:link w:val="Subtitle"/>
    <w:uiPriority w:val="11"/>
    <w:rsid w:val="003A2F46"/>
    <w:rPr>
      <w:rFonts w:cstheme="majorBidi" w:eastAsiaTheme="majorEastAsia"/>
      <w:noProof w:val="1"/>
      <w:color w:val="595959" w:themeColor="text1" w:themeTint="0000A6"/>
      <w:spacing w:val="15"/>
      <w:kern w:val="0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3A2F46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3A2F46"/>
    <w:rPr>
      <w:rFonts w:ascii="Times New Roman" w:hAnsi="Times New Roman" w:cstheme="majorBidi"/>
      <w:i w:val="1"/>
      <w:iCs w:val="1"/>
      <w:noProof w:val="1"/>
      <w:color w:val="404040" w:themeColor="text1" w:themeTint="0000BF"/>
      <w:kern w:val="0"/>
      <w:sz w:val="24"/>
      <w:szCs w:val="32"/>
    </w:rPr>
  </w:style>
  <w:style w:type="paragraph" w:styleId="ListParagraph">
    <w:name w:val="List Paragraph"/>
    <w:basedOn w:val="Normal"/>
    <w:uiPriority w:val="34"/>
    <w:qFormat w:val="1"/>
    <w:rsid w:val="003A2F46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3A2F46"/>
    <w:rPr>
      <w:i w:val="1"/>
      <w:iCs w:val="1"/>
      <w:color w:val="2f549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3A2F46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A2F46"/>
    <w:rPr>
      <w:rFonts w:ascii="Times New Roman" w:hAnsi="Times New Roman" w:cstheme="majorBidi"/>
      <w:i w:val="1"/>
      <w:iCs w:val="1"/>
      <w:noProof w:val="1"/>
      <w:color w:val="2f5496" w:themeColor="accent1" w:themeShade="0000BF"/>
      <w:kern w:val="0"/>
      <w:sz w:val="24"/>
      <w:szCs w:val="32"/>
    </w:rPr>
  </w:style>
  <w:style w:type="character" w:styleId="IntenseReference">
    <w:name w:val="Intense Reference"/>
    <w:basedOn w:val="DefaultParagraphFont"/>
    <w:uiPriority w:val="32"/>
    <w:qFormat w:val="1"/>
    <w:rsid w:val="003A2F46"/>
    <w:rPr>
      <w:b w:val="1"/>
      <w:bCs w:val="1"/>
      <w:smallCaps w:val="1"/>
      <w:color w:val="2f5496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WcHYVFLMWM/eQ+bITrietXZBLg==">CgMxLjA4AHIhMWlIU21IWWo3emEtdVQ3NlVxT0stSkM0TkhKRE9FbEU2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2025-09-07T12:27:00Z</dcterms:created>
  <dc:creator>Aleksa Gačić</dc:creator>
</cp:coreProperties>
</file>