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BF4" w:rsidRPr="00A97BF4" w:rsidRDefault="00A97BF4" w:rsidP="00A97BF4">
      <w:pPr>
        <w:spacing w:after="0" w:line="240" w:lineRule="auto"/>
        <w:jc w:val="both"/>
        <w:rPr>
          <w:rFonts w:ascii="Calibri" w:eastAsia="Times New Roman" w:hAnsi="Calibri" w:cs="Calibri"/>
          <w:color w:val="000000"/>
          <w:sz w:val="24"/>
          <w:szCs w:val="24"/>
        </w:rPr>
      </w:pPr>
      <w:r w:rsidRPr="00A97BF4">
        <w:rPr>
          <w:rFonts w:ascii="Times New Roman" w:eastAsia="Times New Roman" w:hAnsi="Times New Roman" w:cs="Times New Roman"/>
          <w:b/>
          <w:bCs/>
          <w:color w:val="000000"/>
          <w:sz w:val="24"/>
          <w:szCs w:val="24"/>
          <w:lang w:val="sr-Cyrl-RS"/>
        </w:rPr>
        <w:t>Програм</w:t>
      </w:r>
    </w:p>
    <w:p w:rsidR="00A97BF4" w:rsidRPr="00A97BF4" w:rsidRDefault="00A97BF4" w:rsidP="00A97BF4">
      <w:pPr>
        <w:spacing w:after="0" w:line="240" w:lineRule="auto"/>
        <w:jc w:val="both"/>
        <w:rPr>
          <w:rFonts w:ascii="Calibri" w:eastAsia="Times New Roman" w:hAnsi="Calibri" w:cs="Calibri"/>
          <w:color w:val="000000"/>
          <w:sz w:val="24"/>
          <w:szCs w:val="24"/>
        </w:rPr>
      </w:pPr>
      <w:r w:rsidRPr="00A97BF4">
        <w:rPr>
          <w:rFonts w:ascii="Times New Roman" w:eastAsia="Times New Roman" w:hAnsi="Times New Roman" w:cs="Times New Roman"/>
          <w:color w:val="000000"/>
          <w:sz w:val="24"/>
          <w:szCs w:val="24"/>
          <w:lang w:val="sr-Cyrl-RS"/>
        </w:rPr>
        <w:t> </w:t>
      </w:r>
    </w:p>
    <w:p w:rsidR="00A97BF4" w:rsidRPr="00A97BF4" w:rsidRDefault="00A97BF4" w:rsidP="00A97BF4">
      <w:pPr>
        <w:spacing w:after="0" w:line="240" w:lineRule="auto"/>
        <w:jc w:val="both"/>
        <w:rPr>
          <w:rFonts w:ascii="Calibri" w:eastAsia="Times New Roman" w:hAnsi="Calibri" w:cs="Calibri"/>
          <w:color w:val="000000"/>
          <w:sz w:val="24"/>
          <w:szCs w:val="24"/>
        </w:rPr>
      </w:pPr>
      <w:r w:rsidRPr="00A97BF4">
        <w:rPr>
          <w:rFonts w:ascii="Times New Roman" w:eastAsia="Times New Roman" w:hAnsi="Times New Roman" w:cs="Times New Roman"/>
          <w:color w:val="000000"/>
          <w:sz w:val="24"/>
          <w:szCs w:val="24"/>
          <w:lang w:val="sr-Cyrl-RS"/>
        </w:rPr>
        <w:t>13:00</w:t>
      </w:r>
      <w:bookmarkStart w:id="0" w:name="_GoBack"/>
      <w:bookmarkEnd w:id="0"/>
    </w:p>
    <w:p w:rsidR="00A97BF4" w:rsidRPr="00A97BF4" w:rsidRDefault="00A97BF4" w:rsidP="00A97BF4">
      <w:pPr>
        <w:spacing w:after="0" w:line="240" w:lineRule="auto"/>
        <w:jc w:val="both"/>
        <w:rPr>
          <w:rFonts w:ascii="Calibri" w:eastAsia="Times New Roman" w:hAnsi="Calibri" w:cs="Calibri"/>
          <w:color w:val="000000"/>
          <w:sz w:val="24"/>
          <w:szCs w:val="24"/>
        </w:rPr>
      </w:pPr>
      <w:r w:rsidRPr="00A97BF4">
        <w:rPr>
          <w:rFonts w:ascii="Times New Roman" w:eastAsia="Times New Roman" w:hAnsi="Times New Roman" w:cs="Times New Roman"/>
          <w:color w:val="000000"/>
          <w:sz w:val="24"/>
          <w:szCs w:val="24"/>
          <w:lang w:val="sr-Cyrl-RS"/>
        </w:rPr>
        <w:t> </w:t>
      </w:r>
    </w:p>
    <w:p w:rsidR="00A97BF4" w:rsidRPr="00A97BF4" w:rsidRDefault="00A97BF4" w:rsidP="00A97BF4">
      <w:pPr>
        <w:spacing w:after="0" w:line="240" w:lineRule="auto"/>
        <w:jc w:val="both"/>
        <w:rPr>
          <w:rFonts w:ascii="Calibri" w:eastAsia="Times New Roman" w:hAnsi="Calibri" w:cs="Calibri"/>
          <w:color w:val="000000"/>
          <w:sz w:val="24"/>
          <w:szCs w:val="24"/>
        </w:rPr>
      </w:pPr>
      <w:r w:rsidRPr="00A97BF4">
        <w:rPr>
          <w:rFonts w:ascii="Times New Roman" w:eastAsia="Times New Roman" w:hAnsi="Times New Roman" w:cs="Times New Roman"/>
          <w:b/>
          <w:bCs/>
          <w:color w:val="000000"/>
          <w:sz w:val="24"/>
          <w:szCs w:val="24"/>
          <w:lang w:val="sr-Cyrl-RS"/>
        </w:rPr>
        <w:t>"The First Cities in the World 6,000 years ago: the Trypillia megasites of Ukraine"</w:t>
      </w:r>
    </w:p>
    <w:p w:rsidR="00A97BF4" w:rsidRPr="00A97BF4" w:rsidRDefault="00A97BF4" w:rsidP="00A97BF4">
      <w:pPr>
        <w:spacing w:after="0" w:line="240" w:lineRule="auto"/>
        <w:jc w:val="both"/>
        <w:rPr>
          <w:rFonts w:ascii="Calibri" w:eastAsia="Times New Roman" w:hAnsi="Calibri" w:cs="Calibri"/>
          <w:color w:val="000000"/>
          <w:sz w:val="24"/>
          <w:szCs w:val="24"/>
        </w:rPr>
      </w:pPr>
      <w:r w:rsidRPr="00A97BF4">
        <w:rPr>
          <w:rFonts w:ascii="Times New Roman" w:eastAsia="Times New Roman" w:hAnsi="Times New Roman" w:cs="Times New Roman"/>
          <w:color w:val="000000"/>
          <w:sz w:val="24"/>
          <w:szCs w:val="24"/>
          <w:lang w:val="sr-Cyrl-RS"/>
        </w:rPr>
        <w:t> </w:t>
      </w:r>
    </w:p>
    <w:p w:rsidR="00A97BF4" w:rsidRPr="00A97BF4" w:rsidRDefault="00A97BF4" w:rsidP="00A97BF4">
      <w:pPr>
        <w:spacing w:after="0" w:line="240" w:lineRule="auto"/>
        <w:jc w:val="both"/>
        <w:rPr>
          <w:rFonts w:ascii="Calibri" w:eastAsia="Times New Roman" w:hAnsi="Calibri" w:cs="Calibri"/>
          <w:color w:val="000000"/>
          <w:sz w:val="24"/>
          <w:szCs w:val="24"/>
        </w:rPr>
      </w:pPr>
      <w:r w:rsidRPr="00A97BF4">
        <w:rPr>
          <w:rFonts w:ascii="Times New Roman" w:eastAsia="Times New Roman" w:hAnsi="Times New Roman" w:cs="Times New Roman"/>
          <w:color w:val="000000"/>
          <w:sz w:val="24"/>
          <w:szCs w:val="24"/>
          <w:lang w:val="sr-Cyrl-RS"/>
        </w:rPr>
        <w:t> Bisserka Gaydarska (Historic England) and John Chapman (Durham University)</w:t>
      </w:r>
    </w:p>
    <w:p w:rsidR="00A97BF4" w:rsidRPr="00A97BF4" w:rsidRDefault="00A97BF4" w:rsidP="00A97BF4">
      <w:pPr>
        <w:spacing w:after="0" w:line="240" w:lineRule="auto"/>
        <w:jc w:val="both"/>
        <w:rPr>
          <w:rFonts w:ascii="Calibri" w:eastAsia="Times New Roman" w:hAnsi="Calibri" w:cs="Calibri"/>
          <w:color w:val="000000"/>
          <w:sz w:val="24"/>
          <w:szCs w:val="24"/>
        </w:rPr>
      </w:pPr>
      <w:r w:rsidRPr="00A97BF4">
        <w:rPr>
          <w:rFonts w:ascii="Times New Roman" w:eastAsia="Times New Roman" w:hAnsi="Times New Roman" w:cs="Times New Roman"/>
          <w:color w:val="000000"/>
          <w:sz w:val="24"/>
          <w:szCs w:val="24"/>
          <w:lang w:val="sr-Cyrl-RS"/>
        </w:rPr>
        <w:t> </w:t>
      </w:r>
    </w:p>
    <w:p w:rsidR="00A97BF4" w:rsidRPr="00A97BF4" w:rsidRDefault="00A97BF4" w:rsidP="00A97BF4">
      <w:pPr>
        <w:spacing w:after="0" w:line="240" w:lineRule="auto"/>
        <w:jc w:val="both"/>
        <w:rPr>
          <w:rFonts w:ascii="Calibri" w:eastAsia="Times New Roman" w:hAnsi="Calibri" w:cs="Calibri"/>
          <w:color w:val="000000"/>
          <w:sz w:val="24"/>
          <w:szCs w:val="24"/>
        </w:rPr>
      </w:pPr>
      <w:r w:rsidRPr="00A97BF4">
        <w:rPr>
          <w:rFonts w:ascii="Times New Roman" w:eastAsia="Times New Roman" w:hAnsi="Times New Roman" w:cs="Times New Roman"/>
          <w:color w:val="000000"/>
          <w:sz w:val="24"/>
          <w:szCs w:val="24"/>
          <w:lang w:val="sr-Cyrl-RS"/>
        </w:rPr>
        <w:t>The Trypillia megasites of Ukraine (3900 - 3300 cal BC) constitute the largest settlements in 4th millennium cal BC Europe, if not the world. In comparison with typical Trypillia settlements of 10 - 15ha, the megasites are defined as having a minimum size of 100ha and the largest covers 430ha. We suggest that urbanism can best be defined in relational terms and that the megasites stand out from the usual Trypillia settlements in terms not only of size but also the experiences that people would have shared at the vast seasonal meetings which were the focal points of the Trypillia year.</w:t>
      </w:r>
    </w:p>
    <w:p w:rsidR="00A97BF4" w:rsidRPr="00A97BF4" w:rsidRDefault="00A97BF4" w:rsidP="00A97BF4">
      <w:pPr>
        <w:spacing w:after="0" w:line="240" w:lineRule="auto"/>
        <w:jc w:val="both"/>
        <w:rPr>
          <w:rFonts w:ascii="Calibri" w:eastAsia="Times New Roman" w:hAnsi="Calibri" w:cs="Calibri"/>
          <w:color w:val="000000"/>
          <w:sz w:val="24"/>
          <w:szCs w:val="24"/>
        </w:rPr>
      </w:pPr>
      <w:r w:rsidRPr="00A97BF4">
        <w:rPr>
          <w:rFonts w:ascii="Times New Roman" w:eastAsia="Times New Roman" w:hAnsi="Times New Roman" w:cs="Times New Roman"/>
          <w:color w:val="000000"/>
          <w:sz w:val="24"/>
          <w:szCs w:val="24"/>
          <w:lang w:val="sr-Cyrl-RS"/>
        </w:rPr>
        <w:t> </w:t>
      </w:r>
    </w:p>
    <w:p w:rsidR="00A97BF4" w:rsidRPr="00A97BF4" w:rsidRDefault="00A97BF4" w:rsidP="00A97BF4">
      <w:pPr>
        <w:spacing w:after="0" w:line="240" w:lineRule="auto"/>
        <w:jc w:val="both"/>
        <w:rPr>
          <w:rFonts w:ascii="Calibri" w:eastAsia="Times New Roman" w:hAnsi="Calibri" w:cs="Calibri"/>
          <w:color w:val="000000"/>
          <w:sz w:val="24"/>
          <w:szCs w:val="24"/>
        </w:rPr>
      </w:pPr>
      <w:r w:rsidRPr="00A97BF4">
        <w:rPr>
          <w:rFonts w:ascii="Times New Roman" w:eastAsia="Times New Roman" w:hAnsi="Times New Roman" w:cs="Times New Roman"/>
          <w:color w:val="000000"/>
          <w:sz w:val="24"/>
          <w:szCs w:val="24"/>
          <w:lang w:val="sr-Cyrl-RS"/>
        </w:rPr>
        <w:t>14:00</w:t>
      </w:r>
    </w:p>
    <w:p w:rsidR="00A97BF4" w:rsidRPr="00A97BF4" w:rsidRDefault="00A97BF4" w:rsidP="00A97BF4">
      <w:pPr>
        <w:spacing w:after="0" w:line="240" w:lineRule="auto"/>
        <w:jc w:val="both"/>
        <w:rPr>
          <w:rFonts w:ascii="Calibri" w:eastAsia="Times New Roman" w:hAnsi="Calibri" w:cs="Calibri"/>
          <w:color w:val="000000"/>
          <w:sz w:val="24"/>
          <w:szCs w:val="24"/>
        </w:rPr>
      </w:pPr>
      <w:r w:rsidRPr="00A97BF4">
        <w:rPr>
          <w:rFonts w:ascii="Times New Roman" w:eastAsia="Times New Roman" w:hAnsi="Times New Roman" w:cs="Times New Roman"/>
          <w:color w:val="000000"/>
          <w:sz w:val="24"/>
          <w:szCs w:val="24"/>
          <w:lang w:val="sr-Cyrl-RS"/>
        </w:rPr>
        <w:t> </w:t>
      </w:r>
    </w:p>
    <w:p w:rsidR="00A97BF4" w:rsidRPr="00A97BF4" w:rsidRDefault="00A97BF4" w:rsidP="00A97BF4">
      <w:pPr>
        <w:spacing w:after="0" w:line="240" w:lineRule="auto"/>
        <w:jc w:val="both"/>
        <w:rPr>
          <w:rFonts w:ascii="Calibri" w:eastAsia="Times New Roman" w:hAnsi="Calibri" w:cs="Calibri"/>
          <w:color w:val="000000"/>
          <w:sz w:val="24"/>
          <w:szCs w:val="24"/>
        </w:rPr>
      </w:pPr>
      <w:r w:rsidRPr="00A97BF4">
        <w:rPr>
          <w:rFonts w:ascii="Times New Roman" w:eastAsia="Times New Roman" w:hAnsi="Times New Roman" w:cs="Times New Roman"/>
          <w:b/>
          <w:bCs/>
          <w:color w:val="000000"/>
          <w:sz w:val="24"/>
          <w:szCs w:val="24"/>
          <w:lang w:val="sr-Cyrl-RS"/>
        </w:rPr>
        <w:t>"The Trap as a Machine for Thinking: Archaeology, Animals, and the Organisation of Movement"</w:t>
      </w:r>
    </w:p>
    <w:p w:rsidR="00A97BF4" w:rsidRPr="00A97BF4" w:rsidRDefault="00A97BF4" w:rsidP="00A97BF4">
      <w:pPr>
        <w:spacing w:after="0" w:line="240" w:lineRule="auto"/>
        <w:jc w:val="both"/>
        <w:rPr>
          <w:rFonts w:ascii="Calibri" w:eastAsia="Times New Roman" w:hAnsi="Calibri" w:cs="Calibri"/>
          <w:color w:val="000000"/>
          <w:sz w:val="24"/>
          <w:szCs w:val="24"/>
        </w:rPr>
      </w:pPr>
      <w:r w:rsidRPr="00A97BF4">
        <w:rPr>
          <w:rFonts w:ascii="Times New Roman" w:eastAsia="Times New Roman" w:hAnsi="Times New Roman" w:cs="Times New Roman"/>
          <w:b/>
          <w:bCs/>
          <w:color w:val="000000"/>
          <w:sz w:val="24"/>
          <w:szCs w:val="24"/>
          <w:lang w:val="sr-Cyrl-RS"/>
        </w:rPr>
        <w:t> </w:t>
      </w:r>
    </w:p>
    <w:p w:rsidR="00A97BF4" w:rsidRPr="00A97BF4" w:rsidRDefault="00A97BF4" w:rsidP="00A97BF4">
      <w:pPr>
        <w:spacing w:after="0" w:line="240" w:lineRule="auto"/>
        <w:jc w:val="both"/>
        <w:rPr>
          <w:rFonts w:ascii="Calibri" w:eastAsia="Times New Roman" w:hAnsi="Calibri" w:cs="Calibri"/>
          <w:color w:val="000000"/>
          <w:sz w:val="24"/>
          <w:szCs w:val="24"/>
        </w:rPr>
      </w:pPr>
      <w:r w:rsidRPr="00A97BF4">
        <w:rPr>
          <w:rFonts w:ascii="Times New Roman" w:eastAsia="Times New Roman" w:hAnsi="Times New Roman" w:cs="Times New Roman"/>
          <w:color w:val="000000"/>
          <w:sz w:val="24"/>
          <w:szCs w:val="24"/>
          <w:lang w:val="sr-Cyrl-RS"/>
        </w:rPr>
        <w:t>Dimitrij Mlekuž Vrhovnik (University of Ljubljana)</w:t>
      </w:r>
    </w:p>
    <w:p w:rsidR="00A97BF4" w:rsidRPr="00A97BF4" w:rsidRDefault="00A97BF4" w:rsidP="00A97BF4">
      <w:pPr>
        <w:spacing w:after="0" w:line="240" w:lineRule="auto"/>
        <w:jc w:val="both"/>
        <w:rPr>
          <w:rFonts w:ascii="Calibri" w:eastAsia="Times New Roman" w:hAnsi="Calibri" w:cs="Calibri"/>
          <w:color w:val="000000"/>
          <w:sz w:val="24"/>
          <w:szCs w:val="24"/>
        </w:rPr>
      </w:pPr>
      <w:r w:rsidRPr="00A97BF4">
        <w:rPr>
          <w:rFonts w:ascii="Times New Roman" w:eastAsia="Times New Roman" w:hAnsi="Times New Roman" w:cs="Times New Roman"/>
          <w:color w:val="000000"/>
          <w:sz w:val="24"/>
          <w:szCs w:val="24"/>
          <w:lang w:val="sr-Cyrl-RS"/>
        </w:rPr>
        <w:t> </w:t>
      </w:r>
    </w:p>
    <w:p w:rsidR="00A97BF4" w:rsidRPr="00A97BF4" w:rsidRDefault="00A97BF4" w:rsidP="00A97BF4">
      <w:pPr>
        <w:spacing w:after="0" w:line="240" w:lineRule="auto"/>
        <w:jc w:val="both"/>
        <w:rPr>
          <w:rFonts w:ascii="Calibri" w:eastAsia="Times New Roman" w:hAnsi="Calibri" w:cs="Calibri"/>
          <w:color w:val="000000"/>
          <w:sz w:val="24"/>
          <w:szCs w:val="24"/>
        </w:rPr>
      </w:pPr>
      <w:r w:rsidRPr="00A97BF4">
        <w:rPr>
          <w:rFonts w:ascii="Times New Roman" w:eastAsia="Times New Roman" w:hAnsi="Times New Roman" w:cs="Times New Roman"/>
          <w:color w:val="000000"/>
          <w:sz w:val="24"/>
          <w:szCs w:val="24"/>
          <w:lang w:val="sr-Cyrl-RS"/>
        </w:rPr>
        <w:t>The recent discovery of large prehistoric hunting structures on the Karst Plateau of Slovenia has revealed a previously unknown form of landscape-scale hunting architecture. Composed of kilometre-long dry-stone walls that converge into funnels and trapping enclosures, these structures were designed to guide entire herds of deer through the landscape. Their scale raises important questions about cooperation, labour, landscape knowledge, and human-animal relations in later prehistory. This talk presents the archaeological evidence for these hunting structures and discusses the methods through which they were identified, documented, and interpreted. Beyond the discovery itself, however, the talk explores the trap as a particular kind of archaeological object: a device that operates not through enclosure alone, but through the organisation of movement. Rather than focusing on static places, the traps invite us to think about paths, trajectories, perception, animal behaviour, and the shaping of affordances across entire landscapes. In this sense, they offer a unique perspective on how prehistoric communities intervened in and choreographed the movements of both animals and people, transforming landscapes into instruments of capture.</w:t>
      </w:r>
    </w:p>
    <w:p w:rsidR="00095AD3" w:rsidRDefault="00095AD3" w:rsidP="00A97BF4"/>
    <w:sectPr w:rsidR="00095A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BF4"/>
    <w:rsid w:val="00095AD3"/>
    <w:rsid w:val="002F0551"/>
    <w:rsid w:val="00A97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1ydpb9fefa8dmsonormal">
    <w:name w:val="v1ydpb9fefa8dmsonormal"/>
    <w:basedOn w:val="Normal"/>
    <w:rsid w:val="00A97BF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1ydpb9fefa8dmsonormal">
    <w:name w:val="v1ydpb9fefa8dmsonormal"/>
    <w:basedOn w:val="Normal"/>
    <w:rsid w:val="00A97B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519912">
      <w:bodyDiv w:val="1"/>
      <w:marLeft w:val="0"/>
      <w:marRight w:val="0"/>
      <w:marTop w:val="0"/>
      <w:marBottom w:val="0"/>
      <w:divBdr>
        <w:top w:val="none" w:sz="0" w:space="0" w:color="auto"/>
        <w:left w:val="none" w:sz="0" w:space="0" w:color="auto"/>
        <w:bottom w:val="none" w:sz="0" w:space="0" w:color="auto"/>
        <w:right w:val="none" w:sz="0" w:space="0" w:color="auto"/>
      </w:divBdr>
      <w:divsChild>
        <w:div w:id="1771588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test</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2026-07-02T13:14:00Z</dcterms:created>
  <dcterms:modified xsi:type="dcterms:W3CDTF">2026-07-02T13:25:00Z</dcterms:modified>
</cp:coreProperties>
</file>